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68E2" w14:textId="6B8C914A" w:rsidR="00075F41" w:rsidRPr="0089764E" w:rsidRDefault="003538C3" w:rsidP="005A38F8">
      <w:pPr>
        <w:pStyle w:val="ac"/>
        <w:spacing w:before="0"/>
        <w:ind w:right="961" w:firstLine="0"/>
        <w:jc w:val="center"/>
        <w:textAlignment w:val="center"/>
        <w:rPr>
          <w:rFonts w:eastAsiaTheme="minorHAnsi" w:cstheme="minorBidi"/>
          <w:kern w:val="2"/>
          <w:lang w:eastAsia="en-US"/>
          <w14:ligatures w14:val="standardContextual"/>
        </w:rPr>
      </w:pPr>
      <w:r>
        <w:rPr>
          <w:b/>
        </w:rPr>
        <w:t>Концепция внесения изменений в законодательство с целью отмены предельн</w:t>
      </w:r>
      <w:r w:rsidR="00CA50DB">
        <w:rPr>
          <w:b/>
        </w:rPr>
        <w:t>ых</w:t>
      </w:r>
      <w:r>
        <w:rPr>
          <w:b/>
        </w:rPr>
        <w:t xml:space="preserve"> индекс</w:t>
      </w:r>
      <w:r w:rsidR="00CA50DB">
        <w:rPr>
          <w:b/>
        </w:rPr>
        <w:t>ов</w:t>
      </w:r>
      <w:r>
        <w:rPr>
          <w:b/>
        </w:rPr>
        <w:t xml:space="preserve"> </w:t>
      </w:r>
      <w:r w:rsidR="00931AA3">
        <w:rPr>
          <w:b/>
        </w:rPr>
        <w:t xml:space="preserve">изменения размера </w:t>
      </w:r>
      <w:r w:rsidR="00CA50DB" w:rsidRPr="00CA50DB">
        <w:rPr>
          <w:b/>
        </w:rPr>
        <w:t>вносимой гражданами платы за коммунальные услуг</w:t>
      </w:r>
      <w:r w:rsidR="00931AA3">
        <w:rPr>
          <w:b/>
        </w:rPr>
        <w:t>и</w:t>
      </w:r>
      <w:r>
        <w:rPr>
          <w:b/>
        </w:rPr>
        <w:t xml:space="preserve"> и введения критерия финансовой доступности коммунальных услуг</w:t>
      </w:r>
      <w:r w:rsidR="00916D93">
        <w:rPr>
          <w:b/>
        </w:rPr>
        <w:t xml:space="preserve">               </w:t>
      </w:r>
    </w:p>
    <w:p w14:paraId="14E93C6E" w14:textId="5CD5B75D" w:rsidR="00D871FA" w:rsidRDefault="003538C3" w:rsidP="00DF6859">
      <w:r>
        <w:t xml:space="preserve">Целью внесения предлагаемых изменений является создание правовых условий для финансового оздоровления предприятий коммунального комплекса страны при усилении мер социальной поддержки семей с низкими доходами по оплате жилищно-коммунальных услуг путем </w:t>
      </w:r>
      <w:r w:rsidR="00D871FA">
        <w:t xml:space="preserve">введения критерия финансовой доступности коммунальных услуг как важного фактора тарифного регулирования </w:t>
      </w:r>
      <w:proofErr w:type="spellStart"/>
      <w:r w:rsidR="00D871FA">
        <w:t>ресурсоснабжающих</w:t>
      </w:r>
      <w:proofErr w:type="spellEnd"/>
      <w:r w:rsidR="00D871FA">
        <w:t xml:space="preserve"> организаций и отмены </w:t>
      </w:r>
      <w:r w:rsidR="00CA50DB" w:rsidRPr="00CA50DB">
        <w:t>предельных индексов</w:t>
      </w:r>
      <w:r w:rsidR="00931AA3" w:rsidRPr="00931AA3">
        <w:t xml:space="preserve"> изменения размера</w:t>
      </w:r>
      <w:r w:rsidR="00CA50DB" w:rsidRPr="00CA50DB">
        <w:t xml:space="preserve"> вносимой гражданами платы за коммунальные услуг</w:t>
      </w:r>
      <w:r w:rsidR="00931AA3">
        <w:t>и</w:t>
      </w:r>
      <w:r w:rsidR="00D871FA">
        <w:t xml:space="preserve">. </w:t>
      </w:r>
    </w:p>
    <w:p w14:paraId="545A651A" w14:textId="67C944EC" w:rsidR="00075F41" w:rsidRDefault="00075F41" w:rsidP="00DF6859">
      <w:r w:rsidRPr="00341B62">
        <w:t xml:space="preserve">Последнее десятилетие тарифы на коммунальные услуги для населения повышаются в соответствии с устанавливаемыми ежегодно на федеральном уровне предельными индексами </w:t>
      </w:r>
      <w:r w:rsidR="00931AA3" w:rsidRPr="00931AA3">
        <w:t>изменения размера вносимой гражданами платы за коммунальные услуг</w:t>
      </w:r>
      <w:r w:rsidR="00931AA3">
        <w:t>и</w:t>
      </w:r>
      <w:r w:rsidRPr="00341B62">
        <w:t>, которые все эти годы остаются ниже фактического уровня инфляции. В экономическом смысле это означает, что реальные доходы коммунальных предприятий все эти годы сокращаются.</w:t>
      </w:r>
    </w:p>
    <w:p w14:paraId="2AE58A10" w14:textId="0A70AEB0" w:rsidR="00075F41" w:rsidRDefault="00075F41" w:rsidP="00DF6859">
      <w:r>
        <w:t xml:space="preserve">На рисунке 1 приведены данные по инфляции и среднему по субъектам Российской Федерации индексу изменения стоимости коммунальных услуг для населения за период с 2015 по 2023 </w:t>
      </w:r>
      <w:r w:rsidR="00DF6859">
        <w:t>гг.</w:t>
      </w:r>
      <w:r>
        <w:t xml:space="preserve"> Кривая накопленной разницы между инфляцией и предельным индексом изменения стоимости коммунальных услуг за это время составляет 18,9 пунктов. Это означает, что в приведенных ценах доходы </w:t>
      </w:r>
      <w:proofErr w:type="spellStart"/>
      <w:r>
        <w:t>ресурсоснабжающих</w:t>
      </w:r>
      <w:proofErr w:type="spellEnd"/>
      <w:r>
        <w:t xml:space="preserve"> организаций сократились за этот период почти на 20%. При оценке годовой стоимости коммунальных услуг, поставляемых </w:t>
      </w:r>
      <w:proofErr w:type="spellStart"/>
      <w:r>
        <w:t>ресурсоснабжающими</w:t>
      </w:r>
      <w:proofErr w:type="spellEnd"/>
      <w:r>
        <w:t xml:space="preserve"> предприятиями населению в 3,5 трлн рублей в 2023 году, речь идет о </w:t>
      </w:r>
      <w:proofErr w:type="spellStart"/>
      <w:r>
        <w:t>недополучении</w:t>
      </w:r>
      <w:proofErr w:type="spellEnd"/>
      <w:r>
        <w:t xml:space="preserve"> только в этом году 700 млрд рублей по сравнению с доходами предприятий сектора в 2014 году.</w:t>
      </w:r>
    </w:p>
    <w:p w14:paraId="1114D652" w14:textId="77777777" w:rsidR="00DF6859" w:rsidRDefault="00DF6859" w:rsidP="00DF6859">
      <w:pPr>
        <w:keepNext/>
        <w:ind w:firstLine="0"/>
      </w:pPr>
      <w:r w:rsidRPr="00403DF1">
        <w:rPr>
          <w:noProof/>
          <w:lang w:eastAsia="ru-RU"/>
        </w:rPr>
        <w:drawing>
          <wp:inline distT="0" distB="0" distL="0" distR="0" wp14:anchorId="0A8FACE0" wp14:editId="7B6E99EE">
            <wp:extent cx="5940425" cy="3040380"/>
            <wp:effectExtent l="0" t="0" r="0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D30675B-41C3-CCDB-4BCC-5F7348C57A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E354B6B" w14:textId="5A9FCEBB" w:rsidR="00B525F9" w:rsidRDefault="00DF6859" w:rsidP="00DF6859">
      <w:pPr>
        <w:pStyle w:val="ad"/>
      </w:pPr>
      <w:r>
        <w:t xml:space="preserve">Рисунок </w:t>
      </w:r>
      <w:r w:rsidR="005A38F8">
        <w:fldChar w:fldCharType="begin"/>
      </w:r>
      <w:r w:rsidR="005A38F8">
        <w:instrText xml:space="preserve"> SEQ Рисунок \* ARABIC </w:instrText>
      </w:r>
      <w:r w:rsidR="005A38F8">
        <w:fldChar w:fldCharType="separate"/>
      </w:r>
      <w:r>
        <w:rPr>
          <w:noProof/>
        </w:rPr>
        <w:t>1</w:t>
      </w:r>
      <w:r w:rsidR="005A38F8">
        <w:rPr>
          <w:noProof/>
        </w:rPr>
        <w:fldChar w:fldCharType="end"/>
      </w:r>
      <w:r>
        <w:t xml:space="preserve"> – </w:t>
      </w:r>
      <w:r w:rsidRPr="00DF6859">
        <w:t>Динамика инфляции и предельных индексов изменения стоимости коммунальных услуг за период 2015</w:t>
      </w:r>
      <w:r>
        <w:t>–2</w:t>
      </w:r>
      <w:r w:rsidRPr="00DF6859">
        <w:t>023 гг.</w:t>
      </w:r>
    </w:p>
    <w:p w14:paraId="6A77FB1D" w14:textId="4D5131C6" w:rsidR="00DF6859" w:rsidRDefault="00CB19AE" w:rsidP="00DF6859">
      <w:r>
        <w:t>Следствие недофинансирования коммунальных предприятий</w:t>
      </w:r>
      <w:r w:rsidR="00DF6859">
        <w:t xml:space="preserve"> </w:t>
      </w:r>
      <w:r w:rsidR="004B53C2">
        <w:t>–</w:t>
      </w:r>
      <w:r w:rsidR="00DF6859">
        <w:t xml:space="preserve"> высокий </w:t>
      </w:r>
      <w:r>
        <w:t xml:space="preserve">и продолжающий возрастать </w:t>
      </w:r>
      <w:r w:rsidR="00DF6859">
        <w:t xml:space="preserve">физический и моральный износ основных фондов в коммунальном секторе, убытки </w:t>
      </w:r>
      <w:r w:rsidR="00DF6859">
        <w:lastRenderedPageBreak/>
        <w:t xml:space="preserve">коммунальных предприятий, низкая </w:t>
      </w:r>
      <w:r w:rsidR="004B53C2">
        <w:t xml:space="preserve">заработная плата </w:t>
      </w:r>
      <w:r w:rsidR="00DF6859">
        <w:t xml:space="preserve">персонала и вымывание квалифицированных кадров, отсутствие инвестиционной привлекательности для частного бизнеса. Ставка в последние годы делается на ограниченные бюджетные и </w:t>
      </w:r>
      <w:proofErr w:type="spellStart"/>
      <w:r w:rsidR="00DF6859">
        <w:t>квазибюджетные</w:t>
      </w:r>
      <w:proofErr w:type="spellEnd"/>
      <w:r w:rsidR="00DF6859">
        <w:t xml:space="preserve"> механизмы федерального уровня для</w:t>
      </w:r>
      <w:r w:rsidR="004B53C2">
        <w:t xml:space="preserve"> финансирования</w:t>
      </w:r>
      <w:r w:rsidR="00DF6859">
        <w:t xml:space="preserve"> модернизации коммунальной инфраструктуры (инфраструктурное меню). Но</w:t>
      </w:r>
      <w:r w:rsidR="00D871FA">
        <w:t xml:space="preserve"> этот ресурс крайне ограничен. </w:t>
      </w:r>
      <w:r w:rsidR="00DF6859">
        <w:t xml:space="preserve"> </w:t>
      </w:r>
    </w:p>
    <w:p w14:paraId="2DF459A6" w14:textId="09C7C8A0" w:rsidR="007A4C7E" w:rsidRDefault="007A4C7E" w:rsidP="007A4C7E">
      <w:r>
        <w:t>З</w:t>
      </w:r>
      <w:r>
        <w:t xml:space="preserve">а последнее десятилетие доля домохозяйств, получающих жилищные субсидии, сократилась на 1/3 (с 6,4% в 2013 году до 4,4% в 2022 году, по данным Росстата). Это фактически означает, что тарифы на коммунальные услуги для населения росли медленнее, чем доходы низкодоходных домохозяйств. </w:t>
      </w:r>
    </w:p>
    <w:p w14:paraId="121FF645" w14:textId="77777777" w:rsidR="007A4C7E" w:rsidRDefault="007A4C7E" w:rsidP="007A4C7E">
      <w:r>
        <w:t>При этом вследствие ограничений на рост тарифов на коммунальные услуги для населения растут расходы бюджетов на субсидирование организациям разницы между экономически обоснованными тарифами и тарифами для населения. В 2021 году они составили 136,1 млрд руб. (27% расходов на коммунальное хозяйство). Расходы региональных бюджетов на субсидирование платы низкодоходных домохозяйств за ЖКУ в рамках программы жилищных субсидий в 2021 году составили вдвое меньше – 73,7 млрд руб.</w:t>
      </w:r>
    </w:p>
    <w:p w14:paraId="6DFE4A31" w14:textId="77777777" w:rsidR="001B20B2" w:rsidRDefault="007A4C7E" w:rsidP="007A4C7E">
      <w:r>
        <w:t xml:space="preserve">В итоге складывается парадоксальная ситуация: предприятия коммунального комплекса испытывают острую нехватку финансовых ресурсов для ведения операционной деятельности и модернизации инфраструктуры, адресная программа помощи низкодоходным семьям в оплате ЖКУ сокращается, а растущая бюджетная поддержка на субсидирование </w:t>
      </w:r>
      <w:proofErr w:type="spellStart"/>
      <w:r>
        <w:t>межтарифной</w:t>
      </w:r>
      <w:proofErr w:type="spellEnd"/>
      <w:r>
        <w:t xml:space="preserve"> разницы фактически повышает доступность ЖКУ для тех, кто больше потребляет, а это далеко не бедные слои населения.</w:t>
      </w:r>
    </w:p>
    <w:p w14:paraId="35C4E49C" w14:textId="119CF9EA" w:rsidR="001B20B2" w:rsidRDefault="001B20B2" w:rsidP="007A4C7E">
      <w:r>
        <w:t xml:space="preserve">Предлагаемые изменения в законодательстве исходят из того, что при тарифном регулировании стоимости коммунальных услуг для населения следует исходить не из </w:t>
      </w:r>
      <w:r w:rsidR="00D9420C">
        <w:t xml:space="preserve">индексов </w:t>
      </w:r>
      <w:r w:rsidR="00D9420C" w:rsidRPr="00D9420C">
        <w:t>изменения размера вносимой граждана</w:t>
      </w:r>
      <w:r w:rsidR="00D9420C">
        <w:t>ми платы за коммунальные услуги</w:t>
      </w:r>
      <w:r>
        <w:t xml:space="preserve">, а из оценки финансовой доступности коммунальных услуг для населения. </w:t>
      </w:r>
    </w:p>
    <w:p w14:paraId="00FC7CAB" w14:textId="77777777" w:rsidR="00DF6859" w:rsidRDefault="00DF6859" w:rsidP="00DF6859">
      <w:r>
        <w:t xml:space="preserve">Коммунальные услуги обладают характеристикой публичного блага – </w:t>
      </w:r>
      <w:proofErr w:type="spellStart"/>
      <w:r>
        <w:t>неконкурентностью</w:t>
      </w:r>
      <w:proofErr w:type="spellEnd"/>
      <w:r>
        <w:t xml:space="preserve"> потребления. В технологическом аспекте </w:t>
      </w:r>
      <w:proofErr w:type="spellStart"/>
      <w:r>
        <w:t>неконкурентность</w:t>
      </w:r>
      <w:proofErr w:type="spellEnd"/>
      <w:r>
        <w:t xml:space="preserve"> обеспечивается специальными проектными решениями, позволяющими не ограничивать потребление коммунальных услуг при максимально возможном спросе на них (например, водоснабжение при максимальной суточной нагрузке в утренние часы).</w:t>
      </w:r>
    </w:p>
    <w:p w14:paraId="71476E6E" w14:textId="4AA32883" w:rsidR="00DF6859" w:rsidRDefault="001B20B2" w:rsidP="00DF6859">
      <w:r>
        <w:t xml:space="preserve">В настоящее время </w:t>
      </w:r>
      <w:r w:rsidR="00DF6859">
        <w:t xml:space="preserve">критерии финансовой </w:t>
      </w:r>
      <w:proofErr w:type="spellStart"/>
      <w:r w:rsidR="00DF6859">
        <w:t>неконкурентности</w:t>
      </w:r>
      <w:proofErr w:type="spellEnd"/>
      <w:r w:rsidR="00DF6859">
        <w:t xml:space="preserve"> (доступности) коммунальных услуг в российской тарифной политике не применяются</w:t>
      </w:r>
      <w:r w:rsidR="005A57E0">
        <w:t>, тогда как именно эта цель декла</w:t>
      </w:r>
      <w:r w:rsidR="00CC3ECD">
        <w:t>р</w:t>
      </w:r>
      <w:r w:rsidR="005A57E0">
        <w:t>ируется современной тарифной п</w:t>
      </w:r>
      <w:r w:rsidR="005C0F51">
        <w:t>олитикой</w:t>
      </w:r>
      <w:r w:rsidR="00DF6859">
        <w:t>. Очевидно, такие критерии должны определяться доступностью коммунальных услуг для домохозяйств с низкими доходами.</w:t>
      </w:r>
    </w:p>
    <w:p w14:paraId="61722FD4" w14:textId="1245D4B3" w:rsidR="00DF6859" w:rsidRDefault="001B20B2" w:rsidP="00DF6859">
      <w:r>
        <w:t xml:space="preserve">Предлагаемые законодательные изменения </w:t>
      </w:r>
      <w:r w:rsidR="00B754FE">
        <w:t xml:space="preserve">вводят критерий финансовой доступности коммунальных услуг для населения как долю в 15% от домохозяйств региона, получающих жилищные субсидии после принятия того или иного тарифного решения. </w:t>
      </w:r>
      <w:r w:rsidR="00DF6859">
        <w:t xml:space="preserve"> Превышение это</w:t>
      </w:r>
      <w:r w:rsidR="00B754FE">
        <w:t xml:space="preserve">го показателя </w:t>
      </w:r>
      <w:r w:rsidR="00DF6859">
        <w:t xml:space="preserve">  означает финансовую недоступность и невозможность роста стоимости коммунальных услуг выше уровня инфляции. </w:t>
      </w:r>
      <w:proofErr w:type="spellStart"/>
      <w:r w:rsidR="00DF6859">
        <w:t>Недостижение</w:t>
      </w:r>
      <w:proofErr w:type="spellEnd"/>
      <w:r w:rsidR="00DF6859">
        <w:t xml:space="preserve"> предельного значения свидетельствует о допустимости роста стоимости </w:t>
      </w:r>
      <w:r w:rsidR="00B754FE">
        <w:t>коммунальных услуг.</w:t>
      </w:r>
    </w:p>
    <w:p w14:paraId="7EC2DB97" w14:textId="39B4BC0B" w:rsidR="00DF6859" w:rsidRDefault="00DF6859" w:rsidP="00DF6859">
      <w:r>
        <w:t xml:space="preserve">Для того чтобы доля получателей субсидий могла рассматриваться как критерий финансовой доступности коммунальных услуг, параметры программы жилищных субсидий должны быть едиными по всей территории России. </w:t>
      </w:r>
    </w:p>
    <w:p w14:paraId="146F3A67" w14:textId="659EB4FB" w:rsidR="00DF6859" w:rsidRDefault="00DF6859" w:rsidP="00DF6859">
      <w:r>
        <w:t xml:space="preserve">Многие субъекты РФ смягчили условия предоставления жилищных субсидий </w:t>
      </w:r>
      <w:r w:rsidR="00DE5486">
        <w:t xml:space="preserve">для населения </w:t>
      </w:r>
      <w:r>
        <w:t>в сравнении с федеральными стандартами. Предлагается сделать федеральные стандарты</w:t>
      </w:r>
      <w:r w:rsidR="00F46DFD">
        <w:t xml:space="preserve"> едиными </w:t>
      </w:r>
      <w:r w:rsidR="00B754FE">
        <w:t xml:space="preserve">по стране </w:t>
      </w:r>
      <w:r w:rsidR="00F46DFD">
        <w:t>и</w:t>
      </w:r>
      <w:r>
        <w:t xml:space="preserve"> более мягкими по сравнению с существующими </w:t>
      </w:r>
      <w:r w:rsidR="00F46DFD">
        <w:t>предельными значениями</w:t>
      </w:r>
      <w:r>
        <w:t>, понизить порог участия в программе субсидий. Для этого рассматривается изменение двух ключевых параметров: снижение максимально</w:t>
      </w:r>
      <w:r w:rsidR="009A333B">
        <w:t xml:space="preserve"> допустимой доли расходов граждан на оплату </w:t>
      </w:r>
      <w:r w:rsidR="009A333B" w:rsidRPr="009A333B">
        <w:t>жилого помещения и коммунальных услуг в совокупном доходе семьи</w:t>
      </w:r>
      <w:r>
        <w:t xml:space="preserve">(МДД) с 22% до 18%; увеличение стандарта нормативной площади жилого помещения </w:t>
      </w:r>
      <w:r w:rsidR="00F46DFD">
        <w:t xml:space="preserve">на одного жителя </w:t>
      </w:r>
      <w:r>
        <w:t>для расчета субсидии с 18 м</w:t>
      </w:r>
      <w:r w:rsidRPr="000F7B6E">
        <w:rPr>
          <w:vertAlign w:val="superscript"/>
        </w:rPr>
        <w:t>2</w:t>
      </w:r>
      <w:r>
        <w:t xml:space="preserve"> до 23 м</w:t>
      </w:r>
      <w:r w:rsidRPr="000F7B6E">
        <w:rPr>
          <w:vertAlign w:val="superscript"/>
        </w:rPr>
        <w:t>2</w:t>
      </w:r>
      <w:r>
        <w:t xml:space="preserve"> (до среднероссийской жилищной обеспеченности).</w:t>
      </w:r>
    </w:p>
    <w:p w14:paraId="0A202F5A" w14:textId="2EAE1BCF" w:rsidR="00DF6859" w:rsidRDefault="00DF6859" w:rsidP="00DF6859">
      <w:r>
        <w:t xml:space="preserve">Результаты сценарного моделирования </w:t>
      </w:r>
      <w:proofErr w:type="gramStart"/>
      <w:r>
        <w:t>показывают</w:t>
      </w:r>
      <w:proofErr w:type="gramEnd"/>
      <w:r w:rsidR="00CA50DB">
        <w:t xml:space="preserve"> что при таких параметрах </w:t>
      </w:r>
      <w:r>
        <w:t>с учетом прогнозного роста обращаемости домохозяйств за жилищными субсидиями при текущем уровне тарифов число субъектов РФ, достигших предельного значения доли домохозяйств – получателей субсидий в 15% составит 27 регионов</w:t>
      </w:r>
      <w:r w:rsidR="009A333B">
        <w:t>. В этих регионах</w:t>
      </w:r>
      <w:r>
        <w:t xml:space="preserve"> </w:t>
      </w:r>
      <w:r w:rsidR="009A333B">
        <w:t>по новым стандартам уже сегодня отсутствует</w:t>
      </w:r>
      <w:r>
        <w:t xml:space="preserve"> возможност</w:t>
      </w:r>
      <w:r w:rsidR="009A333B">
        <w:t>ь</w:t>
      </w:r>
      <w:r>
        <w:t xml:space="preserve"> роста тарифов на ЖКУ выше уровня инфляции.</w:t>
      </w:r>
    </w:p>
    <w:p w14:paraId="0FC55070" w14:textId="686DA0C6" w:rsidR="00DF6859" w:rsidRDefault="00DF6859" w:rsidP="00DF6859">
      <w:r>
        <w:t>При указанных параметрах программы субсидий прогнозные расчеты по достижению субъектами РФ предельной доли домохозяйств-получателей субсидий в 15% показывают, что в 11 субъектах тарифы могут быть повышены от 2% до 10</w:t>
      </w:r>
      <w:proofErr w:type="gramStart"/>
      <w:r>
        <w:t>%;  в</w:t>
      </w:r>
      <w:proofErr w:type="gramEnd"/>
      <w:r>
        <w:t xml:space="preserve"> 12 – от 10% до 20%; в 6 субъектах – от 20% до 30% и в 29 субъектах РФ – более, чем на 30%. В среднем по Российской Федерации возможно повышение тарифов на</w:t>
      </w:r>
      <w:r w:rsidR="009A333B">
        <w:t xml:space="preserve"> </w:t>
      </w:r>
      <w:r>
        <w:t>18%. Это означает, что за счет тарифной выручки предприятия коммунального сектора могут получить дополнительно порядка 670 млрд рублей за год (в ценах 202</w:t>
      </w:r>
      <w:r w:rsidR="00CA50DB">
        <w:t>4</w:t>
      </w:r>
      <w:r w:rsidR="0021530A">
        <w:t xml:space="preserve"> </w:t>
      </w:r>
      <w:r>
        <w:t>г.) При этом расходы бюджета на программу жилищных субсидий вырастут менее, чем</w:t>
      </w:r>
      <w:r w:rsidR="009A333B">
        <w:t xml:space="preserve"> на</w:t>
      </w:r>
      <w:r>
        <w:t xml:space="preserve"> 200 млрд рублей.</w:t>
      </w:r>
    </w:p>
    <w:p w14:paraId="1FAB89C5" w14:textId="69B7BB97" w:rsidR="00DF6859" w:rsidRDefault="00DF6859" w:rsidP="00DF6859">
      <w:r>
        <w:t>Предлагаемый подход позволяет ввести дифференцированные по субъектам Российской Федерации оценки финансовой доступности коммунальных услуг для домохозяйств с учетом как статистики их доходов, так и сложившейся стоимости ЖКУ. Обеспечивается объективный и прозрачный критерий оценки возможности или невозможности повышения тарифов на коммунальные услуги для населения. Это формирует инвестиционную привлекательность коммунального сектора для частных инвестиций и повышает эффективность бюджетных расходов, переориентируя их на адресную помощь низкодоходным семьям вместо субсидирования коммунального сектора.</w:t>
      </w:r>
    </w:p>
    <w:p w14:paraId="48A48CD6" w14:textId="3B2E84F8" w:rsidR="00931AA3" w:rsidRDefault="00931AA3" w:rsidP="00DF6859">
      <w:r>
        <w:t>Реализация предлагаемого подхода требует разработки законопроекта по внесению изменений в Жилищный кодекс РФ</w:t>
      </w:r>
      <w:r w:rsidR="00590670">
        <w:t xml:space="preserve"> и ряд отраслевых законов</w:t>
      </w:r>
      <w:r w:rsidR="00D9420C">
        <w:t xml:space="preserve">, в соответствии с которыми устанавливаются тарифы на отдельные виды коммунальных услуг для населения, а также принятия целого рада постановлений Правительства РФ по вопросах ценообразования на коммунальные услуги и предоставления субсидий на оплату жилья и коммунальных услуг. </w:t>
      </w:r>
      <w:bookmarkStart w:id="0" w:name="_GoBack"/>
      <w:bookmarkEnd w:id="0"/>
    </w:p>
    <w:sectPr w:rsidR="00931AA3" w:rsidSect="00105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5C0F41" w16cex:dateUtc="2024-02-23T10:41:00Z"/>
  <w16cex:commentExtensible w16cex:durableId="50EC0C6E" w16cex:dateUtc="2024-02-23T10:44:00Z"/>
  <w16cex:commentExtensible w16cex:durableId="68CD10EF" w16cex:dateUtc="2024-02-23T12:15:00Z"/>
  <w16cex:commentExtensible w16cex:durableId="238CCC84" w16cex:dateUtc="2024-02-23T12:36:00Z"/>
  <w16cex:commentExtensible w16cex:durableId="051E0049" w16cex:dateUtc="2024-02-23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D25AE3" w16cid:durableId="625C0F41"/>
  <w16cid:commentId w16cid:paraId="6ACFB64F" w16cid:durableId="50EC0C6E"/>
  <w16cid:commentId w16cid:paraId="5AB20E39" w16cid:durableId="68CD10EF"/>
  <w16cid:commentId w16cid:paraId="6F693464" w16cid:durableId="238CCC84"/>
  <w16cid:commentId w16cid:paraId="10D51A81" w16cid:durableId="051E00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F9"/>
    <w:rsid w:val="00075F41"/>
    <w:rsid w:val="00084E76"/>
    <w:rsid w:val="000F7B6E"/>
    <w:rsid w:val="001058F7"/>
    <w:rsid w:val="001B20B2"/>
    <w:rsid w:val="0021530A"/>
    <w:rsid w:val="00265256"/>
    <w:rsid w:val="002E06A3"/>
    <w:rsid w:val="003538C3"/>
    <w:rsid w:val="00391C0F"/>
    <w:rsid w:val="00494E67"/>
    <w:rsid w:val="004B53C2"/>
    <w:rsid w:val="004C2657"/>
    <w:rsid w:val="005317E8"/>
    <w:rsid w:val="00551088"/>
    <w:rsid w:val="00590670"/>
    <w:rsid w:val="005A38F8"/>
    <w:rsid w:val="005A57E0"/>
    <w:rsid w:val="005C0F51"/>
    <w:rsid w:val="005C230B"/>
    <w:rsid w:val="006551D8"/>
    <w:rsid w:val="007A1F63"/>
    <w:rsid w:val="007A4C7E"/>
    <w:rsid w:val="00826AA4"/>
    <w:rsid w:val="0089764E"/>
    <w:rsid w:val="00916D93"/>
    <w:rsid w:val="00931AA3"/>
    <w:rsid w:val="00934FCF"/>
    <w:rsid w:val="00964000"/>
    <w:rsid w:val="009A333B"/>
    <w:rsid w:val="009E58F9"/>
    <w:rsid w:val="00A336C8"/>
    <w:rsid w:val="00AE0A8D"/>
    <w:rsid w:val="00B31EF2"/>
    <w:rsid w:val="00B525F9"/>
    <w:rsid w:val="00B754FE"/>
    <w:rsid w:val="00CA50DB"/>
    <w:rsid w:val="00CB19AE"/>
    <w:rsid w:val="00CC3ECD"/>
    <w:rsid w:val="00D871FA"/>
    <w:rsid w:val="00D9420C"/>
    <w:rsid w:val="00DE5486"/>
    <w:rsid w:val="00DF6859"/>
    <w:rsid w:val="00E440F4"/>
    <w:rsid w:val="00F36720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186C"/>
  <w15:chartTrackingRefBased/>
  <w15:docId w15:val="{B66EFB9B-FA53-A645-B2C9-6EDB5F5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41"/>
    <w:pPr>
      <w:spacing w:after="0" w:line="36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52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5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5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5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5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5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5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F9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5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25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25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5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25F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75F41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  <w14:ligatures w14:val="none"/>
    </w:rPr>
  </w:style>
  <w:style w:type="paragraph" w:styleId="ad">
    <w:name w:val="caption"/>
    <w:basedOn w:val="a"/>
    <w:next w:val="a"/>
    <w:uiPriority w:val="35"/>
    <w:unhideWhenUsed/>
    <w:qFormat/>
    <w:rsid w:val="00DF6859"/>
    <w:pPr>
      <w:spacing w:line="240" w:lineRule="auto"/>
      <w:ind w:firstLine="0"/>
      <w:jc w:val="center"/>
    </w:pPr>
    <w:rPr>
      <w:iCs/>
      <w:szCs w:val="18"/>
    </w:rPr>
  </w:style>
  <w:style w:type="paragraph" w:styleId="ae">
    <w:name w:val="Revision"/>
    <w:hidden/>
    <w:uiPriority w:val="99"/>
    <w:semiHidden/>
    <w:rsid w:val="00DF6859"/>
    <w:pPr>
      <w:spacing w:after="0" w:line="240" w:lineRule="auto"/>
    </w:pPr>
    <w:rPr>
      <w:rFonts w:ascii="Times New Roman" w:hAnsi="Times New Roman"/>
    </w:rPr>
  </w:style>
  <w:style w:type="character" w:styleId="af">
    <w:name w:val="annotation reference"/>
    <w:basedOn w:val="a0"/>
    <w:uiPriority w:val="99"/>
    <w:semiHidden/>
    <w:unhideWhenUsed/>
    <w:rsid w:val="004B53C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53C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53C2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53C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53C2"/>
    <w:rPr>
      <w:rFonts w:ascii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52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chart" Target="charts/chart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6809022821727104E-2"/>
          <c:y val="8.0253631662378838E-2"/>
          <c:w val="0.92047487918350179"/>
          <c:h val="0.6253078977040704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инфляция, %, декабрь к декабрю прошлого года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3.1600671764768898E-2"/>
                  <c:y val="3.5071593773550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08-C647-AE2B-3DC215DFD63F}"/>
                </c:ext>
              </c:extLst>
            </c:dLbl>
            <c:dLbl>
              <c:idx val="5"/>
              <c:layout>
                <c:manualLayout>
                  <c:x val="-2.926178345353897E-2"/>
                  <c:y val="-4.8928042410540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A08-C647-AE2B-3DC215DFD63F}"/>
                </c:ext>
              </c:extLst>
            </c:dLbl>
            <c:dLbl>
              <c:idx val="7"/>
              <c:layout>
                <c:manualLayout>
                  <c:x val="4.0765912664276847E-3"/>
                  <c:y val="-3.3250175411241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08-C647-AE2B-3DC215DFD63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12.9</c:v>
                </c:pt>
                <c:pt idx="1">
                  <c:v>5.4</c:v>
                </c:pt>
                <c:pt idx="2">
                  <c:v>2.5</c:v>
                </c:pt>
                <c:pt idx="3">
                  <c:v>4.3</c:v>
                </c:pt>
                <c:pt idx="4">
                  <c:v>3</c:v>
                </c:pt>
                <c:pt idx="5">
                  <c:v>4.9000000000000004</c:v>
                </c:pt>
                <c:pt idx="6">
                  <c:v>8.39</c:v>
                </c:pt>
                <c:pt idx="7">
                  <c:v>11.94</c:v>
                </c:pt>
                <c:pt idx="8">
                  <c:v>7.42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A08-C647-AE2B-3DC215DFD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предельный индекс измнения стоимости КУ, %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2.9744811310350911E-2"/>
                  <c:y val="-4.0976585847561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08-C647-AE2B-3DC215DFD63F}"/>
                </c:ext>
              </c:extLst>
            </c:dLbl>
            <c:dLbl>
              <c:idx val="3"/>
              <c:layout>
                <c:manualLayout>
                  <c:x val="-2.9261783453538897E-2"/>
                  <c:y val="-5.00818585795587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08-C647-AE2B-3DC215DFD63F}"/>
                </c:ext>
              </c:extLst>
            </c:dLbl>
            <c:dLbl>
              <c:idx val="7"/>
              <c:layout>
                <c:manualLayout>
                  <c:x val="-3.3938614816005144E-2"/>
                  <c:y val="-4.6229307970167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08-C647-AE2B-3DC215DFD63F}"/>
                </c:ext>
              </c:extLst>
            </c:dLbl>
            <c:dLbl>
              <c:idx val="8"/>
              <c:layout>
                <c:manualLayout>
                  <c:x val="-9.3687868848328203E-3"/>
                  <c:y val="-2.6427327772147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A08-C647-AE2B-3DC215DFD63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8.9409638554216837</c:v>
                </c:pt>
                <c:pt idx="1">
                  <c:v>4.4831325301204812</c:v>
                </c:pt>
                <c:pt idx="2">
                  <c:v>4.0662650602409629</c:v>
                </c:pt>
                <c:pt idx="3">
                  <c:v>4.1108433734939753</c:v>
                </c:pt>
                <c:pt idx="4">
                  <c:v>2.4445783132530123</c:v>
                </c:pt>
                <c:pt idx="5">
                  <c:v>4.0772151898734164</c:v>
                </c:pt>
                <c:pt idx="6">
                  <c:v>3.9337349397590362</c:v>
                </c:pt>
                <c:pt idx="7">
                  <c:v>13.64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A08-C647-AE2B-3DC215DFD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накопленная разница между инфляцией и предельным индексом изменения стоимости КУ,%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2.9261783453538897E-2"/>
                  <c:y val="1.707855824952513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A08-C647-AE2B-3DC215DFD63F}"/>
                </c:ext>
              </c:extLst>
            </c:dLbl>
            <c:dLbl>
              <c:idx val="2"/>
              <c:layout>
                <c:manualLayout>
                  <c:x val="-2.9261783453538859E-2"/>
                  <c:y val="5.00818585795587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A08-C647-AE2B-3DC215DFD63F}"/>
                </c:ext>
              </c:extLst>
            </c:dLbl>
            <c:dLbl>
              <c:idx val="3"/>
              <c:layout>
                <c:manualLayout>
                  <c:x val="-2.9261783453538897E-2"/>
                  <c:y val="4.4612146253995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A08-C647-AE2B-3DC215DFD63F}"/>
                </c:ext>
              </c:extLst>
            </c:dLbl>
            <c:dLbl>
              <c:idx val="7"/>
              <c:layout>
                <c:manualLayout>
                  <c:x val="-3.3938614816005144E-2"/>
                  <c:y val="4.292897793716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A08-C647-AE2B-3DC215DFD63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 formatCode="0.00">
                  <c:v>4</c:v>
                </c:pt>
                <c:pt idx="1">
                  <c:v>5.2</c:v>
                </c:pt>
                <c:pt idx="2">
                  <c:v>3.5</c:v>
                </c:pt>
                <c:pt idx="3">
                  <c:v>3.9</c:v>
                </c:pt>
                <c:pt idx="4">
                  <c:v>4.7</c:v>
                </c:pt>
                <c:pt idx="5">
                  <c:v>5.7</c:v>
                </c:pt>
                <c:pt idx="6">
                  <c:v>12.5</c:v>
                </c:pt>
                <c:pt idx="7">
                  <c:v>11.5</c:v>
                </c:pt>
                <c:pt idx="8">
                  <c:v>18.899999999999999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A08-C647-AE2B-3DC215DFD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435328"/>
        <c:axId val="775481664"/>
      </c:lineChart>
      <c:catAx>
        <c:axId val="10843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5481664"/>
        <c:crosses val="autoZero"/>
        <c:auto val="1"/>
        <c:lblAlgn val="ctr"/>
        <c:lblOffset val="100"/>
        <c:noMultiLvlLbl val="0"/>
      </c:catAx>
      <c:valAx>
        <c:axId val="77548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843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4736886880736544"/>
          <c:y val="0.77970063148047086"/>
          <c:w val="0.71457590910379898"/>
          <c:h val="0.219476624827837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7A40-7645-4EC4-9384-F3676A0B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Александр Максимович</dc:creator>
  <cp:keywords/>
  <dc:description/>
  <cp:lastModifiedBy>Сиваев Сергей Борисович</cp:lastModifiedBy>
  <cp:revision>2</cp:revision>
  <dcterms:created xsi:type="dcterms:W3CDTF">2024-09-07T09:21:00Z</dcterms:created>
  <dcterms:modified xsi:type="dcterms:W3CDTF">2024-09-07T09:21:00Z</dcterms:modified>
</cp:coreProperties>
</file>